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Bookman Old Style" w:cs="Bookman Old Style" w:eastAsia="Bookman Old Style" w:hAnsi="Bookman Old Style"/>
          <w:b w:val="1"/>
          <w:color w:val="c55911"/>
          <w:sz w:val="40"/>
          <w:szCs w:val="4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c55911"/>
          <w:sz w:val="40"/>
          <w:szCs w:val="40"/>
          <w:rtl w:val="0"/>
        </w:rPr>
        <w:t xml:space="preserve">Annual Implementation Plan</w:t>
      </w:r>
    </w:p>
    <w:tbl>
      <w:tblPr>
        <w:tblStyle w:val="Table1"/>
        <w:tblW w:w="13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50"/>
        <w:tblGridChange w:id="0">
          <w:tblGrid>
            <w:gridCol w:w="139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Summary of the plan</w:t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To accelerate the progress of a group of students in the curriculum area of writing.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We aim to move these students at least 2 or more e-asTTle sublevels in the curriculum area of writing.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To do this we will: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-continue to strengthen whanau-school relationships, through parent meetings, providing support, guidance, and up-to-date assessment information at regular intervals throughout the year, with all staff participating in this.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-deliver targeted structured literacy programmes in all classes (eg, structured phonics programme in the Junior Class and Agility with Sound for older students.)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-continue to deliver the Steps programme in Years 1 and 2, in the classroom.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-deliver a grammar programme in Years 3 – 8.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-use “The Code” spelling programme for targeted students.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-use technology and apps available, when applicable.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-use external support agencies where applicable (eg LSC, RTLB, RTLit).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-continue to participate in Kahui Ako professional development.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-use local community connections.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-use local landmarks and natural assets to help engage students to write.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-link writing to student’s interests.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-publish work.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-write for a purpose and make this purpose clear to children.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-integrate writing in all curriculum areas, eg, Science reports, EOTC reports.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Where we are currently at: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-writing has been identified by staff for 2024 as the curriculum area where most students (particularly boys) are working towards meeting the curriculum level. 19% of our students are working towards meeting the curriculum level.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-see our “Statement of Variance 2022” for what has been done in 2022 to meet these targets.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How will our targets and actions give effect to Te Tiriti o Waitangi: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-our targets and actions will ensure that Maori world view and student success is kept at the forefront of teachers practice.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-from Maori professional development undertaken by staff in 2023 more Te Reo Maori language is being implemented in the classroom.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Bookman Old Style" w:cs="Bookman Old Style" w:eastAsia="Bookman Old Style" w:hAnsi="Bookman Old Style"/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1900" w:w="16840" w:orient="landscape"/>
      <w:pgMar w:bottom="794" w:top="794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F25C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oFV3Esb9KyeHO6N6wU/O2QA/Ow==">CgMxLjA4AHIhMWZyMVVoU3FDR28zc3ROaW4waWFDZElYanE4dUN1dXRv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2024-02-21T23:01:00Z</dcterms:created>
  <dc:creator>Microsoft Office User</dc:creator>
</cp:coreProperties>
</file>